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C" w:rsidRPr="0044329B" w:rsidRDefault="00614D5C" w:rsidP="002B253E">
      <w:pPr>
        <w:jc w:val="center"/>
        <w:rPr>
          <w:rFonts w:ascii="Bookman Old Style" w:hAnsi="Bookman Old Style"/>
          <w:sz w:val="24"/>
          <w:szCs w:val="24"/>
        </w:rPr>
      </w:pPr>
      <w:r w:rsidRPr="0044329B">
        <w:rPr>
          <w:rFonts w:ascii="Bookman Old Style" w:hAnsi="Bookman Old Style"/>
          <w:sz w:val="24"/>
          <w:szCs w:val="24"/>
          <w:lang w:val="en-US"/>
        </w:rPr>
        <w:t>DAFTAR PENILAIAN MANDIRI</w:t>
      </w:r>
    </w:p>
    <w:p w:rsidR="00BE4127" w:rsidRPr="0044329B" w:rsidRDefault="00113F6F" w:rsidP="002B253E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44329B">
        <w:rPr>
          <w:rFonts w:ascii="Bookman Old Style" w:hAnsi="Bookman Old Style"/>
          <w:sz w:val="24"/>
          <w:szCs w:val="24"/>
          <w:lang w:val="en-US"/>
        </w:rPr>
        <w:t>(</w:t>
      </w:r>
      <w:r w:rsidR="002B253E" w:rsidRPr="0044329B">
        <w:rPr>
          <w:rFonts w:ascii="Bookman Old Style" w:hAnsi="Bookman Old Style"/>
          <w:i/>
          <w:sz w:val="24"/>
          <w:szCs w:val="24"/>
        </w:rPr>
        <w:t>MATURITY MODEL</w:t>
      </w:r>
      <w:r w:rsidRPr="0044329B">
        <w:rPr>
          <w:rFonts w:ascii="Bookman Old Style" w:hAnsi="Bookman Old Style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740"/>
        <w:gridCol w:w="5533"/>
        <w:gridCol w:w="370"/>
        <w:gridCol w:w="365"/>
        <w:gridCol w:w="370"/>
        <w:gridCol w:w="365"/>
        <w:gridCol w:w="370"/>
        <w:gridCol w:w="365"/>
        <w:gridCol w:w="658"/>
      </w:tblGrid>
      <w:tr w:rsidR="002A4973" w:rsidRPr="0044329B" w:rsidTr="00DA12BA">
        <w:trPr>
          <w:tblHeader/>
        </w:trPr>
        <w:tc>
          <w:tcPr>
            <w:tcW w:w="1182" w:type="dxa"/>
            <w:gridSpan w:val="2"/>
            <w:vMerge w:val="restart"/>
            <w:vAlign w:val="center"/>
          </w:tcPr>
          <w:p w:rsidR="002A4973" w:rsidRPr="0044329B" w:rsidRDefault="002A4973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NO</w:t>
            </w:r>
            <w:r w:rsidR="00614D5C" w:rsidRPr="0044329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533" w:type="dxa"/>
            <w:vMerge w:val="restart"/>
            <w:vAlign w:val="center"/>
          </w:tcPr>
          <w:p w:rsidR="002A4973" w:rsidRPr="0044329B" w:rsidRDefault="002A4973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KRITERIA</w:t>
            </w:r>
          </w:p>
        </w:tc>
        <w:tc>
          <w:tcPr>
            <w:tcW w:w="2863" w:type="dxa"/>
            <w:gridSpan w:val="7"/>
            <w:vAlign w:val="center"/>
          </w:tcPr>
          <w:p w:rsidR="002A4973" w:rsidRPr="0044329B" w:rsidRDefault="002A4973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SCORE</w:t>
            </w:r>
          </w:p>
        </w:tc>
      </w:tr>
      <w:tr w:rsidR="002A4973" w:rsidRPr="0044329B" w:rsidTr="00DA12BA">
        <w:trPr>
          <w:tblHeader/>
        </w:trPr>
        <w:tc>
          <w:tcPr>
            <w:tcW w:w="11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4973" w:rsidRPr="0044329B" w:rsidRDefault="002A4973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  <w:vMerge/>
            <w:tcBorders>
              <w:bottom w:val="single" w:sz="4" w:space="0" w:color="auto"/>
            </w:tcBorders>
            <w:vAlign w:val="center"/>
          </w:tcPr>
          <w:p w:rsidR="002A4973" w:rsidRPr="0044329B" w:rsidRDefault="002A4973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2A4973" w:rsidRPr="0044329B" w:rsidRDefault="002A4973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2A4973" w:rsidRPr="0044329B" w:rsidRDefault="002A4973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2A4973" w:rsidRPr="0044329B" w:rsidRDefault="002A4973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2A4973" w:rsidRPr="0044329B" w:rsidRDefault="002A4973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2A4973" w:rsidRPr="0044329B" w:rsidRDefault="002A4973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2A4973" w:rsidRPr="0044329B" w:rsidRDefault="002A4973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2A4973" w:rsidRPr="0044329B" w:rsidRDefault="004B3DCE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</w:tr>
      <w:tr w:rsidR="0080279D" w:rsidRPr="0044329B" w:rsidTr="0080279D"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B" w:rsidRPr="0044329B" w:rsidRDefault="004E58DF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>Kepatuhan Terhadap Peraturan Kepabeanan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279D" w:rsidRPr="0044329B" w:rsidTr="0080279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Prosedur untuk melakukan verifikasi keakuratan data 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pemberitahuan pabean maupun dokumen-dokumen lain yang terkait dengan kepabeanan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279D" w:rsidRPr="0044329B" w:rsidTr="0080279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Prosedur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dalam menyampaikan pemberitahuan pabean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279D" w:rsidRPr="0044329B" w:rsidTr="0080279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Prosedur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dalam mengelola 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perizinan 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yang terkait dengan 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ekspor dan impor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79D" w:rsidRPr="0044329B" w:rsidRDefault="0080279D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D742B" w:rsidRPr="0044329B" w:rsidTr="0080279D"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5533" w:type="dxa"/>
            <w:tcBorders>
              <w:top w:val="single" w:sz="4" w:space="0" w:color="auto"/>
            </w:tcBorders>
          </w:tcPr>
          <w:p w:rsidR="003D742B" w:rsidRPr="0044329B" w:rsidRDefault="004E58DF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 xml:space="preserve">Sistem </w:t>
            </w:r>
            <w:r w:rsidR="00DA12BA" w:rsidRPr="0044329B">
              <w:rPr>
                <w:rFonts w:ascii="Bookman Old Style" w:hAnsi="Bookman Old Style"/>
                <w:noProof/>
                <w:color w:val="000000"/>
                <w:sz w:val="24"/>
                <w:szCs w:val="24"/>
                <w:lang w:val="en-US"/>
              </w:rPr>
              <w:t>Pengelolaan</w:t>
            </w:r>
            <w:r w:rsidRPr="0044329B"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 xml:space="preserve"> Data Perdagangan </w:t>
            </w: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0AD5" w:rsidRPr="0044329B" w:rsidTr="00DA12BA">
        <w:tc>
          <w:tcPr>
            <w:tcW w:w="442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AD5" w:rsidRPr="0044329B" w:rsidRDefault="002A4973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2.1</w:t>
            </w:r>
          </w:p>
        </w:tc>
        <w:tc>
          <w:tcPr>
            <w:tcW w:w="5533" w:type="dxa"/>
          </w:tcPr>
          <w:p w:rsidR="00DB0AD5" w:rsidRPr="0044329B" w:rsidRDefault="002A4973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Proses akuntansi (pembukuan)</w:t>
            </w: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0AD5" w:rsidRPr="0044329B" w:rsidTr="00DA12BA">
        <w:tc>
          <w:tcPr>
            <w:tcW w:w="442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AD5" w:rsidRPr="0044329B" w:rsidRDefault="00DB0AD5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DB0AD5" w:rsidRPr="0044329B" w:rsidRDefault="002A4973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Pengorganisasian</w:t>
            </w:r>
            <w:r w:rsidR="009C5057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pembukuan 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yang terkomputerisasi</w:t>
            </w: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0AD5" w:rsidRPr="0044329B" w:rsidTr="00DA12BA">
        <w:tc>
          <w:tcPr>
            <w:tcW w:w="442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AD5" w:rsidRPr="0044329B" w:rsidRDefault="00DB0AD5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DB0AD5" w:rsidRPr="0044329B" w:rsidRDefault="004E58DF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Pengorganisasian 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administrasi</w:t>
            </w:r>
            <w:r w:rsidR="002A4973" w:rsidRPr="0044329B">
              <w:rPr>
                <w:rFonts w:ascii="Bookman Old Style" w:hAnsi="Bookman Old Style"/>
                <w:sz w:val="24"/>
                <w:szCs w:val="24"/>
              </w:rPr>
              <w:t xml:space="preserve"> keuangan</w:t>
            </w: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0AD5" w:rsidRPr="0044329B" w:rsidTr="00DA12BA">
        <w:tc>
          <w:tcPr>
            <w:tcW w:w="442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AD5" w:rsidRPr="0044329B" w:rsidRDefault="00DB0AD5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DB0AD5" w:rsidRPr="0044329B" w:rsidRDefault="002A4973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Pengorganisasian administrasi logistik</w:t>
            </w: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0AD5" w:rsidRPr="0044329B" w:rsidTr="00DA12BA">
        <w:tc>
          <w:tcPr>
            <w:tcW w:w="442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AD5" w:rsidRPr="0044329B" w:rsidRDefault="002A4973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2.2</w:t>
            </w:r>
          </w:p>
        </w:tc>
        <w:tc>
          <w:tcPr>
            <w:tcW w:w="5533" w:type="dxa"/>
          </w:tcPr>
          <w:p w:rsidR="00DB0AD5" w:rsidRPr="0044329B" w:rsidRDefault="002A4973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Rekam jejak audit (</w:t>
            </w:r>
            <w:r w:rsidRPr="0044329B">
              <w:rPr>
                <w:rFonts w:ascii="Bookman Old Style" w:hAnsi="Bookman Old Style"/>
                <w:i/>
                <w:sz w:val="24"/>
                <w:szCs w:val="24"/>
              </w:rPr>
              <w:t>audit trail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0AD5" w:rsidRPr="0044329B" w:rsidTr="00DA12BA">
        <w:tc>
          <w:tcPr>
            <w:tcW w:w="442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AD5" w:rsidRPr="0044329B" w:rsidRDefault="002A4973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2.3</w:t>
            </w:r>
          </w:p>
        </w:tc>
        <w:tc>
          <w:tcPr>
            <w:tcW w:w="5533" w:type="dxa"/>
          </w:tcPr>
          <w:p w:rsidR="00DB0AD5" w:rsidRPr="0044329B" w:rsidRDefault="002A4973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Sistem logistik untuk membedakan kelompok barang</w:t>
            </w: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0AD5" w:rsidRPr="0044329B" w:rsidTr="00DA12BA">
        <w:tc>
          <w:tcPr>
            <w:tcW w:w="442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AD5" w:rsidRPr="0044329B" w:rsidRDefault="00A11395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2.4</w:t>
            </w:r>
          </w:p>
        </w:tc>
        <w:tc>
          <w:tcPr>
            <w:tcW w:w="5533" w:type="dxa"/>
          </w:tcPr>
          <w:p w:rsidR="00DB0AD5" w:rsidRPr="0044329B" w:rsidRDefault="00A11395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Sistem pengawasan internal</w:t>
            </w:r>
            <w:r w:rsidR="00DA676C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(SPI)</w:t>
            </w: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0AD5" w:rsidRPr="0044329B" w:rsidTr="00DA12BA">
        <w:tc>
          <w:tcPr>
            <w:tcW w:w="442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AD5" w:rsidRPr="0044329B" w:rsidRDefault="00DB0AD5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DB0AD5" w:rsidRPr="0044329B" w:rsidRDefault="00A11395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Pengorganisasian administrasi dan sistem pengendalian internal</w:t>
            </w: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DB0AD5" w:rsidRPr="0044329B" w:rsidRDefault="00DB0AD5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43E4" w:rsidRPr="0044329B" w:rsidTr="00DA12BA">
        <w:tc>
          <w:tcPr>
            <w:tcW w:w="442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3743E4" w:rsidRPr="0044329B" w:rsidRDefault="003743E4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2.5</w:t>
            </w:r>
          </w:p>
        </w:tc>
        <w:tc>
          <w:tcPr>
            <w:tcW w:w="5533" w:type="dxa"/>
          </w:tcPr>
          <w:p w:rsidR="003743E4" w:rsidRPr="0044329B" w:rsidRDefault="0080279D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Pengorganisasian </w:t>
            </w:r>
            <w:r w:rsidR="00614D5C" w:rsidRPr="0044329B">
              <w:rPr>
                <w:rFonts w:ascii="Bookman Old Style" w:hAnsi="Bookman Old Style"/>
                <w:sz w:val="24"/>
                <w:szCs w:val="24"/>
              </w:rPr>
              <w:t>b</w:t>
            </w:r>
            <w:r w:rsidR="003743E4" w:rsidRPr="0044329B">
              <w:rPr>
                <w:rFonts w:ascii="Bookman Old Style" w:hAnsi="Bookman Old Style"/>
                <w:sz w:val="24"/>
                <w:szCs w:val="24"/>
              </w:rPr>
              <w:t>arang</w:t>
            </w: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43E4" w:rsidRPr="0044329B" w:rsidTr="00DA12BA">
        <w:tc>
          <w:tcPr>
            <w:tcW w:w="442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3743E4" w:rsidRPr="0044329B" w:rsidRDefault="003743E4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3743E4" w:rsidRPr="0044329B" w:rsidRDefault="003743E4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yang berkai</w:t>
            </w:r>
            <w:r w:rsidR="00855CD8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t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an dengan pergerakan barang secara internal</w:t>
            </w: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43E4" w:rsidRPr="0044329B" w:rsidTr="00DA12BA">
        <w:tc>
          <w:tcPr>
            <w:tcW w:w="442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3743E4" w:rsidRPr="0044329B" w:rsidRDefault="003743E4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3743E4" w:rsidRPr="0044329B" w:rsidRDefault="003743E4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untuk dapat melakukan pengawasan terhadap persediaan barang</w:t>
            </w: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43E4" w:rsidRPr="0044329B" w:rsidTr="00DA12BA">
        <w:tc>
          <w:tcPr>
            <w:tcW w:w="442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3743E4" w:rsidRPr="0044329B" w:rsidRDefault="003743E4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3743E4" w:rsidRPr="0044329B" w:rsidRDefault="003743E4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untuk dapat melakukan pengawasan terhadap proses produksi</w:t>
            </w: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43E4" w:rsidRPr="0044329B" w:rsidTr="00DA12BA">
        <w:tc>
          <w:tcPr>
            <w:tcW w:w="442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3743E4" w:rsidRPr="0044329B" w:rsidRDefault="003743E4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3743E4" w:rsidRPr="0044329B" w:rsidRDefault="003743E4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pengeluaran dan penjualan barang</w:t>
            </w: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3743E4" w:rsidRPr="0044329B" w:rsidRDefault="003743E4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D742B" w:rsidRPr="0044329B" w:rsidTr="001F3A90"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:rsidR="003D742B" w:rsidRPr="0044329B" w:rsidRDefault="003D742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5533" w:type="dxa"/>
          </w:tcPr>
          <w:p w:rsidR="003D742B" w:rsidRPr="0044329B" w:rsidRDefault="001F3A90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Kemampuan Keuangan</w:t>
            </w:r>
          </w:p>
        </w:tc>
        <w:tc>
          <w:tcPr>
            <w:tcW w:w="370" w:type="dxa"/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3D742B" w:rsidRPr="0044329B" w:rsidRDefault="003D742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1F3A9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  <w:tcBorders>
              <w:left w:val="single" w:sz="4" w:space="0" w:color="auto"/>
            </w:tcBorders>
          </w:tcPr>
          <w:p w:rsidR="009F706B" w:rsidRPr="0044329B" w:rsidRDefault="003D742B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Kondisi keuangan yang sehat untuk 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menjamin bahwa perusahaan mampu memenuhi </w:t>
            </w:r>
            <w:r w:rsidR="00C30478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kewajiban pembayaran baik kepada </w:t>
            </w:r>
            <w:r w:rsidR="001F3A90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mitra dagang</w:t>
            </w:r>
            <w:r w:rsidR="001F3A90" w:rsidRPr="0044329B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r w:rsidR="00C30478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maupun kepada Direktorat Jenderal Bea dan Cukai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F3A90" w:rsidRPr="0044329B" w:rsidTr="00DF6D8B">
        <w:tc>
          <w:tcPr>
            <w:tcW w:w="1182" w:type="dxa"/>
            <w:gridSpan w:val="2"/>
          </w:tcPr>
          <w:p w:rsidR="001F3A90" w:rsidRPr="0044329B" w:rsidRDefault="001F3A90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lastRenderedPageBreak/>
              <w:t>4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5533" w:type="dxa"/>
          </w:tcPr>
          <w:p w:rsidR="001F3A90" w:rsidRPr="0044329B" w:rsidRDefault="001F3A90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Ke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amanan (</w:t>
            </w:r>
            <w:r w:rsidRPr="0044329B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Security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)</w:t>
            </w:r>
          </w:p>
        </w:tc>
        <w:tc>
          <w:tcPr>
            <w:tcW w:w="370" w:type="dxa"/>
          </w:tcPr>
          <w:p w:rsidR="001F3A90" w:rsidRPr="0044329B" w:rsidRDefault="001F3A90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1F3A90" w:rsidRPr="0044329B" w:rsidRDefault="001F3A90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1F3A90" w:rsidRPr="0044329B" w:rsidRDefault="001F3A90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1F3A90" w:rsidRPr="0044329B" w:rsidRDefault="001F3A90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1F3A90" w:rsidRPr="0044329B" w:rsidRDefault="001F3A90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1F3A90" w:rsidRPr="0044329B" w:rsidRDefault="001F3A90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1F3A90" w:rsidRPr="0044329B" w:rsidRDefault="001F3A90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B76B7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4.1</w:t>
            </w:r>
          </w:p>
        </w:tc>
        <w:tc>
          <w:tcPr>
            <w:tcW w:w="5533" w:type="dxa"/>
          </w:tcPr>
          <w:p w:rsidR="009F706B" w:rsidRPr="0044329B" w:rsidRDefault="00855CD8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Evaluasi ke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amanan</w:t>
            </w:r>
            <w:r w:rsidR="00086200" w:rsidRPr="0044329B">
              <w:rPr>
                <w:rFonts w:ascii="Bookman Old Style" w:hAnsi="Bookman Old Style"/>
                <w:sz w:val="24"/>
                <w:szCs w:val="24"/>
              </w:rPr>
              <w:t xml:space="preserve"> yang dilakukan oleh perusahaan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3D742B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Pengorganisasian keamanan internal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8126AD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pengendalian internal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34794B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yang berkaitan dengan insiden keamanan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855CD8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Sertifikasi ke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amanan</w:t>
            </w:r>
            <w:r w:rsidR="00AE0EC5" w:rsidRPr="0044329B">
              <w:rPr>
                <w:rFonts w:ascii="Bookman Old Style" w:hAnsi="Bookman Old Style"/>
                <w:sz w:val="24"/>
                <w:szCs w:val="24"/>
              </w:rPr>
              <w:t xml:space="preserve"> oleh pihak ketiga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B76B7B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Persyaratan </w:t>
            </w:r>
            <w:r w:rsidR="00855CD8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keamanan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khusus terhad</w:t>
            </w:r>
            <w:r w:rsidR="00AE0EC5" w:rsidRPr="0044329B">
              <w:rPr>
                <w:rFonts w:ascii="Bookman Old Style" w:hAnsi="Bookman Old Style"/>
                <w:sz w:val="24"/>
                <w:szCs w:val="24"/>
              </w:rPr>
              <w:t>ap barang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AE0EC5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Penilaian atas risiko keamanan oleh perusahaan keamanan eksternal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855CD8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Persyaratan ke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amanan</w:t>
            </w:r>
            <w:r w:rsidR="00E07A6C" w:rsidRPr="0044329B">
              <w:rPr>
                <w:rFonts w:ascii="Bookman Old Style" w:hAnsi="Bookman Old Style"/>
                <w:sz w:val="24"/>
                <w:szCs w:val="24"/>
              </w:rPr>
              <w:t xml:space="preserve"> yang dimiliki oleh pihak ketiga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E07A6C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4.2</w:t>
            </w:r>
          </w:p>
        </w:tc>
        <w:tc>
          <w:tcPr>
            <w:tcW w:w="5533" w:type="dxa"/>
          </w:tcPr>
          <w:p w:rsidR="009F706B" w:rsidRPr="0044329B" w:rsidRDefault="0040769F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Keamanan</w:t>
            </w:r>
            <w:r w:rsidR="00E07A6C" w:rsidRPr="0044329B">
              <w:rPr>
                <w:rFonts w:ascii="Bookman Old Style" w:hAnsi="Bookman Old Style"/>
                <w:sz w:val="24"/>
                <w:szCs w:val="24"/>
              </w:rPr>
              <w:t xml:space="preserve"> Lokasi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E07A6C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Sistem kontrol terhadap akses orang, kendaraan, dan barang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E07A6C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standar terhadap penerobosan oleh orang yang tidak berhak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Default="00AF485F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Keamanan terhadap batas</w:t>
            </w:r>
            <w:r w:rsidR="00EF7DB4" w:rsidRPr="0044329B">
              <w:rPr>
                <w:rFonts w:ascii="Bookman Old Style" w:hAnsi="Bookman Old Style"/>
                <w:sz w:val="24"/>
                <w:szCs w:val="24"/>
              </w:rPr>
              <w:t>-batas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paling luar bangunan</w:t>
            </w:r>
          </w:p>
          <w:p w:rsidR="006E09E3" w:rsidRPr="0044329B" w:rsidRDefault="006E09E3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AF485F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Prosedur terhadap penutupan </w:t>
            </w:r>
            <w:r w:rsidR="00423076" w:rsidRPr="0044329B">
              <w:rPr>
                <w:rFonts w:ascii="Bookman Old Style" w:hAnsi="Bookman Old Style"/>
                <w:sz w:val="24"/>
                <w:szCs w:val="24"/>
              </w:rPr>
              <w:t xml:space="preserve">serta pengawasan 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pintu dan gerbang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07A9" w:rsidRPr="0044329B" w:rsidTr="00DA12BA">
        <w:tc>
          <w:tcPr>
            <w:tcW w:w="442" w:type="dxa"/>
          </w:tcPr>
          <w:p w:rsidR="00B407A9" w:rsidRPr="0044329B" w:rsidRDefault="00B407A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B407A9" w:rsidRPr="0044329B" w:rsidRDefault="00B407A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B407A9" w:rsidRPr="0044329B" w:rsidRDefault="00B407A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Prosedur pengamanan oleh 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p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etugas keamanan dan pengorganisasiannya</w:t>
            </w:r>
          </w:p>
        </w:tc>
        <w:tc>
          <w:tcPr>
            <w:tcW w:w="370" w:type="dxa"/>
          </w:tcPr>
          <w:p w:rsidR="00B407A9" w:rsidRPr="0044329B" w:rsidRDefault="00B407A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B407A9" w:rsidRPr="0044329B" w:rsidRDefault="00B407A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B407A9" w:rsidRPr="0044329B" w:rsidRDefault="00B407A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B407A9" w:rsidRPr="0044329B" w:rsidRDefault="00B407A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B407A9" w:rsidRPr="0044329B" w:rsidRDefault="00B407A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B407A9" w:rsidRPr="0044329B" w:rsidRDefault="00B407A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B407A9" w:rsidRPr="0044329B" w:rsidRDefault="00B407A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AF485F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Penggunaan kunci serta kondisi pencahayaan bangunan yang memadai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293B" w:rsidRPr="0044329B" w:rsidTr="00DA12BA">
        <w:tc>
          <w:tcPr>
            <w:tcW w:w="442" w:type="dxa"/>
          </w:tcPr>
          <w:p w:rsidR="00AA293B" w:rsidRPr="0044329B" w:rsidRDefault="00AA293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AA293B" w:rsidRPr="0044329B" w:rsidRDefault="00AA293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AA293B" w:rsidRPr="0044329B" w:rsidRDefault="00AA293B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terhadap akses penggunaan kunci</w:t>
            </w:r>
          </w:p>
        </w:tc>
        <w:tc>
          <w:tcPr>
            <w:tcW w:w="370" w:type="dxa"/>
          </w:tcPr>
          <w:p w:rsidR="00AA293B" w:rsidRPr="0044329B" w:rsidRDefault="00AA293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AA293B" w:rsidRPr="0044329B" w:rsidRDefault="00AA293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AA293B" w:rsidRPr="0044329B" w:rsidRDefault="00AA293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AA293B" w:rsidRPr="0044329B" w:rsidRDefault="00AA293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AA293B" w:rsidRPr="0044329B" w:rsidRDefault="00AA293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AA293B" w:rsidRPr="0044329B" w:rsidRDefault="00AA293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AA293B" w:rsidRPr="0044329B" w:rsidRDefault="00AA293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EF7DB4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untuk parkir kendaraan pribadi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706B" w:rsidRPr="0044329B" w:rsidTr="00DA12BA">
        <w:tc>
          <w:tcPr>
            <w:tcW w:w="442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9F706B" w:rsidRPr="0044329B" w:rsidRDefault="009F706B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9F706B" w:rsidRPr="0044329B" w:rsidRDefault="00EF7DB4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Prosedur </w:t>
            </w:r>
            <w:r w:rsidR="00423076" w:rsidRPr="0044329B">
              <w:rPr>
                <w:rFonts w:ascii="Bookman Old Style" w:hAnsi="Bookman Old Style"/>
                <w:sz w:val="24"/>
                <w:szCs w:val="24"/>
              </w:rPr>
              <w:t xml:space="preserve">pengawasan 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serta pemeliharaan bangunan dan batas paling luar bangunan</w:t>
            </w: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9F706B" w:rsidRPr="0044329B" w:rsidRDefault="009F706B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4.</w:t>
            </w:r>
            <w:r w:rsidR="005F2A93" w:rsidRPr="0044329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Keamanan pertukaran informasi, akses, dan kerahasiaan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untuk melakukan pengarsipan data</w:t>
            </w:r>
            <w:r w:rsidRPr="0044329B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, </w:t>
            </w:r>
            <w:r w:rsidRPr="0044329B">
              <w:rPr>
                <w:rFonts w:ascii="Bookman Old Style" w:hAnsi="Bookman Old Style"/>
                <w:i/>
                <w:sz w:val="24"/>
                <w:szCs w:val="24"/>
              </w:rPr>
              <w:t>back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44329B">
              <w:rPr>
                <w:rFonts w:ascii="Bookman Old Style" w:hAnsi="Bookman Old Style"/>
                <w:i/>
                <w:sz w:val="24"/>
                <w:szCs w:val="24"/>
              </w:rPr>
              <w:t>up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44329B">
              <w:rPr>
                <w:rFonts w:ascii="Bookman Old Style" w:hAnsi="Bookman Old Style"/>
                <w:i/>
                <w:sz w:val="24"/>
                <w:szCs w:val="24"/>
              </w:rPr>
              <w:t>recovery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dan mengatasi 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kehilangan 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data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Keamanan informasi dan perlindungan perangkat komputer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untuk mencegah akses yang tidak sah ke perangkat komputer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r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untuk menentukan tingkat akses ke perangkat komputer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Dokumentasi atas keamanan informasi 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Tindakan yang dilakukan atas kebocoran terhadap informasi yang bersifat rahasia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pacing w:val="-4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pacing w:val="-4"/>
                <w:sz w:val="24"/>
                <w:szCs w:val="24"/>
              </w:rPr>
              <w:t>Persyaratan yang diberikan kepada mitra dagang untuk mengelola informasi yang bersifat rahasia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4.4</w:t>
            </w: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Keamanan</w:t>
            </w:r>
            <w:r w:rsidR="0040769F" w:rsidRPr="0044329B">
              <w:rPr>
                <w:rFonts w:ascii="Bookman Old Style" w:hAnsi="Bookman Old Style"/>
                <w:sz w:val="24"/>
                <w:szCs w:val="24"/>
              </w:rPr>
              <w:t xml:space="preserve"> Kargo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Kegiatan untuk melakukan pengecekan terhadap kargo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Kegiatan yang dilakukan untuk memastikan kargo dalam keadaan utuh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pacing w:val="-4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pacing w:val="-4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Penggunaan segel sesuai dengan standar yang berlaku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pacing w:val="-4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pacing w:val="-4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pacing w:val="-4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pacing w:val="-4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pacing w:val="-4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pacing w:val="-4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pacing w:val="-4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pemeriksaan terhadap kontainer (7</w:t>
            </w:r>
            <w:r w:rsidR="00614D5C" w:rsidRPr="0044329B">
              <w:rPr>
                <w:rFonts w:ascii="Bookman Old Style" w:hAnsi="Bookman Old Style"/>
                <w:sz w:val="24"/>
                <w:szCs w:val="24"/>
              </w:rPr>
              <w:t xml:space="preserve"> (tujuh)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titik pemeriksaan)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yang dilakukan dalam hal terjadi penerobosan dan/atau terjadi manipulasi terhadap kargo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4.5</w:t>
            </w:r>
          </w:p>
        </w:tc>
        <w:tc>
          <w:tcPr>
            <w:tcW w:w="5533" w:type="dxa"/>
          </w:tcPr>
          <w:p w:rsidR="004532F9" w:rsidRPr="0044329B" w:rsidRDefault="00C7681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Keamanan Pergerakan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Tingkat keama</w:t>
            </w:r>
            <w:r w:rsidR="00C76819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n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an atas pengiriman kargo yang dilakukan oleh </w:t>
            </w:r>
            <w:r w:rsidRPr="0044329B">
              <w:rPr>
                <w:rFonts w:ascii="Bookman Old Style" w:hAnsi="Bookman Old Style"/>
                <w:i/>
                <w:sz w:val="24"/>
                <w:szCs w:val="24"/>
              </w:rPr>
              <w:t>forwarder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/operator eksternal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4.</w:t>
            </w:r>
            <w:r w:rsidR="005F2A93" w:rsidRPr="0044329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Pembongkaran 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Prosedur untuk melakukan pengawasan terhadap alat angkut yang membawa barang </w:t>
            </w:r>
            <w:r w:rsidR="00C76819" w:rsidRPr="0044329B">
              <w:rPr>
                <w:rFonts w:ascii="Bookman Old Style" w:hAnsi="Bookman Old Style"/>
                <w:sz w:val="24"/>
                <w:szCs w:val="24"/>
              </w:rPr>
              <w:t>yang memasuki lokasi perusahaan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Kegiatan dalam rangka memastikan keamanan orang terhadap pihak ketiga yang berada di  lokasi perusahaan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untuk melakukan pengecekan keutuhan segel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administrasi dan prosedur fisik dalam rangka penerimaan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pacing w:val="8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pacing w:val="8"/>
                <w:sz w:val="24"/>
                <w:szCs w:val="24"/>
              </w:rPr>
              <w:t>Prosedur yang dilakukan dalam hal kedapatan perbedaan dan/atau penyimpangan pada saat penerimaan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4.</w:t>
            </w:r>
            <w:r w:rsidR="005F2A93" w:rsidRPr="0044329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Penyimpanan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pacing w:val="-8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pacing w:val="-8"/>
                <w:sz w:val="24"/>
                <w:szCs w:val="24"/>
              </w:rPr>
              <w:t>Prosedur untuk mencegah terjadinya tindakan manipulasi saat penyimpanan barang</w:t>
            </w:r>
          </w:p>
          <w:p w:rsidR="006E09E3" w:rsidRPr="0044329B" w:rsidRDefault="006E09E3" w:rsidP="0044329B">
            <w:pPr>
              <w:spacing w:before="120" w:after="120"/>
              <w:jc w:val="both"/>
              <w:rPr>
                <w:rFonts w:ascii="Bookman Old Style" w:hAnsi="Bookman Old Style"/>
                <w:spacing w:val="-8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Dalam hal diperlukan, dilakukan pemisahan untuk masing-masing jenis barang dengan tingkat risiko yang berbeda pada tempat penyimpanan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Pembatasan atas akses orang (kategori staf saja) yang berhak memasuki tempat penyimpanan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dalam hal kedapatan perbedaan atau penyimpangan pada tempat penyimpanan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4.</w:t>
            </w:r>
            <w:r w:rsidR="005F2A93" w:rsidRPr="0044329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Produksi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ke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amanan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terhadap barang selama proses produksi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Pembatasan atas akses orang (kategori staf saja) yang berhak memasuki tempat produksi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keamanan pada saat proses pengemasan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Kualitas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4.</w:t>
            </w:r>
            <w:r w:rsidR="005F2A93" w:rsidRPr="0044329B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Pemuatan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Prosedur untuk memastikan bahwa 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barang yang dimuat telah benar-benar sesuai dengan pemberitahuan pabean yang di ajukan ke D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irektorat Jenderal Bea dan Cukai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untuk melakukan pengawasan terhadap alat angkut yang membawa barang yang keluar dari lokasi perusahaan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Kegiatan dalam rangka memastikan keamanan orang yang berada di  lokasi perusahaan yang dilakukan oleh pihak ketiga 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Pengawasan pada saat pemuatan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Proses pelekatan segel/tanda pengaman terhadap barang yang kelua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r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administratif pada saat dilakukan pemuatan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dalam hal kedapatan perbedaan atau penyimpangan pada saat pemuatan barang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4.</w:t>
            </w:r>
            <w:r w:rsidR="005F2A93" w:rsidRPr="0044329B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Persyaratan ke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amanan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mitra dagang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untuk melakukan identifikasi mitra dagang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Memperhatikan unsur-unsur ke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amanan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dalam melakukan hubungan dengan mitra dagang sesuai dengan peraturan perundang-undangan yang berlaku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4.1</w:t>
            </w:r>
            <w:r w:rsidR="005F2A93" w:rsidRPr="0044329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Keamanan Pegawai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Kebijakan terhadap pegawai dengan tetap memperhatikan unsur ke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amanan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Pemeriksaan latar belakang pegawai secara berkala untuk pegawai yang ditugaskan pada posisi yang sensitif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Pendidikan dan pelatihan ke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amanan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kepada pegawai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Persyaratan ke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amanan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terhadap pegawai tidak tetap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4.1</w:t>
            </w:r>
            <w:r w:rsidR="005F2A93" w:rsidRPr="0044329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Pelayanan oleh pihak ketiga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Persyaratan ke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amanan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 terhadap pihak ketiga yang dituangkan dalam kontrak kerjasama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32F9" w:rsidRPr="0044329B" w:rsidTr="00DA12BA">
        <w:tc>
          <w:tcPr>
            <w:tcW w:w="442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0" w:type="dxa"/>
          </w:tcPr>
          <w:p w:rsidR="004532F9" w:rsidRPr="0044329B" w:rsidRDefault="004532F9" w:rsidP="0044329B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3" w:type="dxa"/>
          </w:tcPr>
          <w:p w:rsidR="004532F9" w:rsidRPr="0044329B" w:rsidRDefault="004532F9" w:rsidP="0044329B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Prosedur untuk memastikan  bahwa pihak ketiga mematuhi persyaratan yang telah disepakati</w:t>
            </w: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" w:type="dxa"/>
          </w:tcPr>
          <w:p w:rsidR="004532F9" w:rsidRPr="0044329B" w:rsidRDefault="004532F9" w:rsidP="0044329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C5057" w:rsidRPr="0044329B" w:rsidRDefault="009C5057">
      <w:pPr>
        <w:rPr>
          <w:rFonts w:ascii="Bookman Old Style" w:hAnsi="Bookman Old Style"/>
          <w:b/>
          <w:sz w:val="24"/>
          <w:szCs w:val="24"/>
          <w:u w:val="single"/>
        </w:rPr>
      </w:pPr>
      <w:r w:rsidRPr="0044329B">
        <w:rPr>
          <w:rFonts w:ascii="Bookman Old Style" w:hAnsi="Bookman Old Style"/>
          <w:b/>
          <w:sz w:val="24"/>
          <w:szCs w:val="24"/>
          <w:u w:val="single"/>
        </w:rPr>
        <w:br w:type="page"/>
      </w:r>
    </w:p>
    <w:p w:rsidR="001924C9" w:rsidRPr="0044329B" w:rsidRDefault="006A6E81" w:rsidP="0044329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038AD">
        <w:rPr>
          <w:rFonts w:ascii="Bookman Old Style" w:hAnsi="Bookman Old Style" w:cs="Arial"/>
          <w:color w:val="000000"/>
        </w:rPr>
        <w:lastRenderedPageBreak/>
        <w:t>PETUNJUK PENGISIAN</w:t>
      </w:r>
    </w:p>
    <w:p w:rsidR="001924C9" w:rsidRPr="0044329B" w:rsidRDefault="001924C9" w:rsidP="001924C9">
      <w:pPr>
        <w:rPr>
          <w:rFonts w:ascii="Bookman Old Style" w:hAnsi="Bookman Old Style"/>
          <w:sz w:val="24"/>
          <w:szCs w:val="24"/>
        </w:rPr>
      </w:pPr>
      <w:r w:rsidRPr="0044329B">
        <w:rPr>
          <w:rFonts w:ascii="Bookman Old Style" w:hAnsi="Bookman Old Style"/>
          <w:sz w:val="24"/>
          <w:szCs w:val="24"/>
        </w:rPr>
        <w:t>Diisi sesuai dengan kondisi praktek kegiatan operasional rutin yang dilaku</w:t>
      </w:r>
      <w:r w:rsidR="003B32DD" w:rsidRPr="0044329B">
        <w:rPr>
          <w:rFonts w:ascii="Bookman Old Style" w:hAnsi="Bookman Old Style"/>
          <w:sz w:val="24"/>
          <w:szCs w:val="24"/>
        </w:rPr>
        <w:t>kan unit-unit dalam organisasi Operator E</w:t>
      </w:r>
      <w:r w:rsidRPr="0044329B">
        <w:rPr>
          <w:rFonts w:ascii="Bookman Old Style" w:hAnsi="Bookman Old Style"/>
          <w:sz w:val="24"/>
          <w:szCs w:val="24"/>
        </w:rPr>
        <w:t>konomi.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277"/>
      </w:tblGrid>
      <w:tr w:rsidR="00331F6F" w:rsidRPr="0044329B" w:rsidTr="006A6E81">
        <w:tc>
          <w:tcPr>
            <w:tcW w:w="9270" w:type="dxa"/>
            <w:gridSpan w:val="2"/>
          </w:tcPr>
          <w:p w:rsidR="00331F6F" w:rsidRPr="006A6E81" w:rsidRDefault="003B32DD" w:rsidP="006A6E81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A6E81">
              <w:rPr>
                <w:rFonts w:ascii="Bookman Old Style" w:hAnsi="Bookman Old Style"/>
                <w:sz w:val="24"/>
                <w:szCs w:val="24"/>
              </w:rPr>
              <w:t>Keterangan S</w:t>
            </w:r>
            <w:r w:rsidR="00331F6F" w:rsidRPr="006A6E81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Skor 0</w:t>
            </w:r>
          </w:p>
        </w:tc>
        <w:tc>
          <w:tcPr>
            <w:tcW w:w="8277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Tidak ada tindakan pengendalian yang diterapkan</w:t>
            </w: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77" w:type="dxa"/>
          </w:tcPr>
          <w:p w:rsidR="00331F6F" w:rsidRPr="0044329B" w:rsidRDefault="007A27DF" w:rsidP="006A6E81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Belum mengakomodir p</w:t>
            </w:r>
            <w:r w:rsidR="00331F6F" w:rsidRPr="0044329B">
              <w:rPr>
                <w:rFonts w:ascii="Bookman Old Style" w:hAnsi="Bookman Old Style"/>
                <w:sz w:val="24"/>
                <w:szCs w:val="24"/>
              </w:rPr>
              <w:t xml:space="preserve">entingnya 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penerapan </w:t>
            </w:r>
            <w:r w:rsidR="00331F6F" w:rsidRPr="0044329B">
              <w:rPr>
                <w:rFonts w:ascii="Bookman Old Style" w:hAnsi="Bookman Old Style"/>
                <w:sz w:val="24"/>
                <w:szCs w:val="24"/>
              </w:rPr>
              <w:t>pengendalian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isnis</w:t>
            </w:r>
            <w:r w:rsidR="005F2A93" w:rsidRPr="0044329B">
              <w:rPr>
                <w:rFonts w:ascii="Bookman Old Style" w:hAnsi="Bookman Old Style"/>
                <w:sz w:val="24"/>
                <w:szCs w:val="24"/>
              </w:rPr>
              <w:t>, k</w:t>
            </w:r>
            <w:r w:rsidR="00331F6F" w:rsidRPr="0044329B">
              <w:rPr>
                <w:rFonts w:ascii="Bookman Old Style" w:hAnsi="Bookman Old Style"/>
                <w:sz w:val="24"/>
                <w:szCs w:val="24"/>
              </w:rPr>
              <w:t>esalahan atau insiden telah direspons, tetapi tidak ada langkah-langkah terstruktur yang bertujuan sebagai tindakan pencegahan</w:t>
            </w:r>
            <w:r w:rsidR="005F2A93" w:rsidRPr="0044329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77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 xml:space="preserve">Skor 1 </w:t>
            </w:r>
          </w:p>
        </w:tc>
        <w:tc>
          <w:tcPr>
            <w:tcW w:w="8277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Pengendalian internal bersifat sementara dan tidak terorganisir</w:t>
            </w: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77" w:type="dxa"/>
          </w:tcPr>
          <w:p w:rsidR="00E13C47" w:rsidRPr="0044329B" w:rsidRDefault="007A27DF" w:rsidP="006A6E81">
            <w:pPr>
              <w:spacing w:before="120" w:after="120"/>
              <w:jc w:val="both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Telah ada k</w:t>
            </w:r>
            <w:r w:rsidR="00331F6F" w:rsidRPr="0044329B">
              <w:rPr>
                <w:rFonts w:ascii="Bookman Old Style" w:hAnsi="Bookman Old Style"/>
                <w:sz w:val="24"/>
                <w:szCs w:val="24"/>
              </w:rPr>
              <w:t>esadaran akan p</w:t>
            </w:r>
            <w:r w:rsidRPr="0044329B">
              <w:rPr>
                <w:rFonts w:ascii="Bookman Old Style" w:hAnsi="Bookman Old Style"/>
                <w:sz w:val="24"/>
                <w:szCs w:val="24"/>
              </w:rPr>
              <w:t>entingnya pengendalian internal</w:t>
            </w:r>
            <w:r w:rsidR="00331F6F" w:rsidRPr="0044329B">
              <w:rPr>
                <w:rFonts w:ascii="Bookman Old Style" w:hAnsi="Bookman Old Style"/>
                <w:sz w:val="24"/>
                <w:szCs w:val="24"/>
              </w:rPr>
              <w:t xml:space="preserve">, tetapi pelaksanaannya masih bersifat sementara dan </w:t>
            </w:r>
            <w:r w:rsidR="005F2A93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tidak terorganisir</w:t>
            </w:r>
            <w:r w:rsidR="005F2A93" w:rsidRPr="0044329B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E13C47" w:rsidRPr="0044329B">
              <w:rPr>
                <w:rFonts w:ascii="Bookman Old Style" w:hAnsi="Bookman Old Style"/>
                <w:sz w:val="24"/>
                <w:szCs w:val="24"/>
              </w:rPr>
              <w:t>Pentingnya menerapkan pengendalian internal tidak dikomunikasikan secara luas dan kemungkinan para pegawai tidak menyadarinya</w:t>
            </w:r>
            <w:r w:rsidR="00971611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, t</w:t>
            </w:r>
            <w:r w:rsidR="00E13C47" w:rsidRPr="0044329B">
              <w:rPr>
                <w:rFonts w:ascii="Bookman Old Style" w:hAnsi="Bookman Old Style"/>
                <w:sz w:val="24"/>
                <w:szCs w:val="24"/>
              </w:rPr>
              <w:t xml:space="preserve">ingkat resiko akan tidak terdeteksinya kesalahan secara cepat </w:t>
            </w:r>
            <w:r w:rsidR="00971611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masih </w:t>
            </w:r>
            <w:r w:rsidR="00E13C47" w:rsidRPr="0044329B">
              <w:rPr>
                <w:rFonts w:ascii="Bookman Old Style" w:hAnsi="Bookman Old Style"/>
                <w:sz w:val="24"/>
                <w:szCs w:val="24"/>
              </w:rPr>
              <w:t>sangat tinggi</w:t>
            </w:r>
            <w:r w:rsidR="00971611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, k</w:t>
            </w:r>
            <w:r w:rsidR="00E13C47" w:rsidRPr="0044329B">
              <w:rPr>
                <w:rFonts w:ascii="Bookman Old Style" w:hAnsi="Bookman Old Style"/>
                <w:sz w:val="24"/>
                <w:szCs w:val="24"/>
              </w:rPr>
              <w:t>etidakmampuan dalam melakukan tindakan pencegahan atas insiden</w:t>
            </w:r>
            <w:r w:rsidR="00971611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207401">
            <w:pPr>
              <w:spacing w:before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77" w:type="dxa"/>
          </w:tcPr>
          <w:p w:rsidR="00331F6F" w:rsidRPr="0044329B" w:rsidRDefault="00331F6F" w:rsidP="00207401">
            <w:pPr>
              <w:spacing w:before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Skor 2</w:t>
            </w:r>
          </w:p>
        </w:tc>
        <w:tc>
          <w:tcPr>
            <w:tcW w:w="8277" w:type="dxa"/>
          </w:tcPr>
          <w:p w:rsidR="00331F6F" w:rsidRPr="0044329B" w:rsidRDefault="00E13C47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Pengendalian internal bisnis memiliki pola yang tetap</w:t>
            </w: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77" w:type="dxa"/>
          </w:tcPr>
          <w:p w:rsidR="00331F6F" w:rsidRPr="0044329B" w:rsidRDefault="001E5D7F" w:rsidP="006A6E81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M</w:t>
            </w:r>
            <w:r w:rsidR="009D67A1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emperhatikan pada proses</w:t>
            </w:r>
            <w:r w:rsidR="001F2E37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bisnis</w:t>
            </w:r>
            <w:r w:rsidR="009D67A1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, ketentuan pengendalian internal telah di berlakukan, namun belum memiliki standar yang pasti, karena prosedur internal belum dibentuk, implementasi pe</w:t>
            </w:r>
            <w:r w:rsidR="008A500B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ngendalian bergantung pada peng</w:t>
            </w:r>
            <w:r w:rsidR="008A500B" w:rsidRPr="0044329B">
              <w:rPr>
                <w:rFonts w:ascii="Bookman Old Style" w:hAnsi="Bookman Old Style"/>
                <w:sz w:val="24"/>
                <w:szCs w:val="24"/>
              </w:rPr>
              <w:t>e</w:t>
            </w:r>
            <w:r w:rsidR="009D67A1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tahuan dan kemauan individu pegawai. Dalam kondisi seperti ini pegawai tidak cukup menyadari pentingnya pengendalian internal usahanya. Pengendalian internal yang ada tidak c</w:t>
            </w:r>
            <w:r w:rsidR="00C53BAE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ukup di</w:t>
            </w:r>
            <w:r w:rsidR="009D67A1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evaluasi</w:t>
            </w:r>
            <w:r w:rsidR="00C53BAE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, sebagai akibatnya dalam kondisi seperti ini masih cukup berisiko sehingga setiap kesalahan dan kejadian tidak bisa dicegah dan di ketahui pada waktu yang tepat.</w:t>
            </w: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77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Skor 3</w:t>
            </w:r>
          </w:p>
        </w:tc>
        <w:tc>
          <w:tcPr>
            <w:tcW w:w="8277" w:type="dxa"/>
          </w:tcPr>
          <w:p w:rsidR="00331F6F" w:rsidRPr="0044329B" w:rsidRDefault="00DA676C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Pengendalian internal bisnis telah ditetapkan</w:t>
            </w:r>
            <w:r w:rsidR="001E5D7F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dan dikenal</w:t>
            </w: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77" w:type="dxa"/>
          </w:tcPr>
          <w:p w:rsidR="00DA676C" w:rsidRPr="0044329B" w:rsidRDefault="009C5057" w:rsidP="006A6E81">
            <w:pPr>
              <w:spacing w:before="120" w:after="1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r w:rsidRPr="0044329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Mem</w:t>
            </w:r>
            <w:r w:rsidR="001F2E37" w:rsidRPr="0044329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perhatikan proses bisnis, ketentuan pengendalian internal telah diberlakukan dan ditetapkan dengan jelas dan dibakukan. Pegawai menyadari pentingnya manajemen internal pada proses bisnis. Pengendalian internal yang memadai t</w:t>
            </w:r>
            <w:r w:rsidR="008A500B" w:rsidRPr="0044329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elah dievaluasi secara periodi</w:t>
            </w:r>
            <w:r w:rsidR="008A500B" w:rsidRPr="0044329B">
              <w:rPr>
                <w:rFonts w:ascii="Bookman Old Style" w:eastAsia="Times New Roman" w:hAnsi="Bookman Old Style" w:cs="Times New Roman"/>
                <w:sz w:val="24"/>
                <w:szCs w:val="24"/>
              </w:rPr>
              <w:t>k</w:t>
            </w:r>
            <w:r w:rsidR="0040056C" w:rsidRPr="0044329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, namun  tidak </w:t>
            </w:r>
            <w:r w:rsidR="007D7CFF" w:rsidRPr="0044329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ada </w:t>
            </w:r>
            <w:r w:rsidR="0040056C" w:rsidRPr="0044329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tempat penyimpanan</w:t>
            </w:r>
            <w:r w:rsidRPr="0044329B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.</w:t>
            </w: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77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hAnsi="Bookman Old Style"/>
                <w:sz w:val="24"/>
                <w:szCs w:val="24"/>
              </w:rPr>
              <w:t>Skor 4</w:t>
            </w:r>
          </w:p>
        </w:tc>
        <w:tc>
          <w:tcPr>
            <w:tcW w:w="8277" w:type="dxa"/>
          </w:tcPr>
          <w:p w:rsidR="00331F6F" w:rsidRPr="0044329B" w:rsidRDefault="00532977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Proses bisnis telah diaudit  internal dan dievaluasi</w:t>
            </w: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77" w:type="dxa"/>
          </w:tcPr>
          <w:p w:rsidR="00331F6F" w:rsidRPr="0044329B" w:rsidRDefault="00532977" w:rsidP="006A6E81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Telah ada sistim pengendalian internal yang</w:t>
            </w:r>
            <w:r w:rsidR="0066778E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beroperasi </w:t>
            </w: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efektif </w:t>
            </w:r>
            <w:r w:rsidR="0066778E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dan terdokumentasi. Pengendalian internal yang </w:t>
            </w:r>
            <w:r w:rsidR="009C5057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telah dilakukan evaluasi secara periodik. </w:t>
            </w:r>
            <w:r w:rsidR="00B17642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Proses evaluasi dijalankan secara formal dan didokumentasikan seperlunya. Kelemahan akan teridentifikasi dalam pengendalian internal sehingga kelemahan-kelemahan yang </w:t>
            </w:r>
            <w:r w:rsidR="00B17642"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mungkin terjadi di masa depan dapat dicegah.</w:t>
            </w:r>
          </w:p>
        </w:tc>
      </w:tr>
      <w:tr w:rsidR="00331F6F" w:rsidRPr="0044329B" w:rsidTr="006A6E81">
        <w:tc>
          <w:tcPr>
            <w:tcW w:w="993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277" w:type="dxa"/>
          </w:tcPr>
          <w:p w:rsidR="00331F6F" w:rsidRPr="0044329B" w:rsidRDefault="00331F6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F6F" w:rsidRPr="0044329B" w:rsidTr="006A6E81">
        <w:tc>
          <w:tcPr>
            <w:tcW w:w="993" w:type="dxa"/>
            <w:tcBorders>
              <w:bottom w:val="single" w:sz="4" w:space="0" w:color="auto"/>
            </w:tcBorders>
          </w:tcPr>
          <w:p w:rsidR="00331F6F" w:rsidRPr="0044329B" w:rsidRDefault="007A27DF" w:rsidP="006A6E81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329B">
              <w:rPr>
                <w:rFonts w:ascii="Bookman Old Style" w:hAnsi="Bookman Old Style"/>
                <w:sz w:val="24"/>
                <w:szCs w:val="24"/>
                <w:lang w:val="en-US"/>
              </w:rPr>
              <w:t>Skor 5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331F6F" w:rsidRPr="0044329B" w:rsidRDefault="008A500B" w:rsidP="006A6E81">
            <w:pPr>
              <w:spacing w:before="120"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329B">
              <w:rPr>
                <w:rFonts w:ascii="Bookman Old Style" w:eastAsia="Times New Roman" w:hAnsi="Bookman Old Style" w:cs="Times New Roman"/>
                <w:sz w:val="24"/>
                <w:szCs w:val="24"/>
              </w:rPr>
              <w:t>Pengumpulan data secara o</w:t>
            </w:r>
            <w:r w:rsidR="007A27DF" w:rsidRPr="0044329B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tomatis, adanya mekanisme pencegahan </w:t>
            </w:r>
            <w:r w:rsidR="007A27DF" w:rsidRPr="0044329B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defect</w:t>
            </w:r>
            <w:r w:rsidR="007A27DF" w:rsidRPr="0044329B">
              <w:rPr>
                <w:rFonts w:ascii="Bookman Old Style" w:eastAsia="Times New Roman" w:hAnsi="Bookman Old Style" w:cs="Times New Roman"/>
                <w:sz w:val="24"/>
                <w:szCs w:val="24"/>
              </w:rPr>
              <w:t>, adanya mekanisme umpan balik yang sangat baik, dan adanya peningkatan kualitas dari Sumber Daya Manusia dan juga peningkatan kualitas proses.</w:t>
            </w:r>
          </w:p>
        </w:tc>
      </w:tr>
    </w:tbl>
    <w:p w:rsidR="00331F6F" w:rsidRPr="0044329B" w:rsidRDefault="00331F6F" w:rsidP="00467A98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331F6F" w:rsidRPr="0044329B" w:rsidSect="00467A98">
      <w:headerReference w:type="default" r:id="rId8"/>
      <w:pgSz w:w="12242" w:h="18722" w:code="14"/>
      <w:pgMar w:top="1560" w:right="1296" w:bottom="1296" w:left="1296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18" w:rsidRDefault="00401818" w:rsidP="00614D5C">
      <w:pPr>
        <w:spacing w:after="0" w:line="240" w:lineRule="auto"/>
      </w:pPr>
      <w:r>
        <w:separator/>
      </w:r>
    </w:p>
  </w:endnote>
  <w:endnote w:type="continuationSeparator" w:id="0">
    <w:p w:rsidR="00401818" w:rsidRDefault="00401818" w:rsidP="0061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18" w:rsidRDefault="00401818" w:rsidP="00614D5C">
      <w:pPr>
        <w:spacing w:after="0" w:line="240" w:lineRule="auto"/>
      </w:pPr>
      <w:r>
        <w:separator/>
      </w:r>
    </w:p>
  </w:footnote>
  <w:footnote w:type="continuationSeparator" w:id="0">
    <w:p w:rsidR="00401818" w:rsidRDefault="00401818" w:rsidP="0061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003952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  <w:sz w:val="24"/>
        <w:szCs w:val="24"/>
      </w:rPr>
    </w:sdtEndPr>
    <w:sdtContent>
      <w:p w:rsidR="00207401" w:rsidRDefault="00207401" w:rsidP="00614D5C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</w:p>
      <w:p w:rsidR="00614D5C" w:rsidRPr="00614D5C" w:rsidRDefault="00614D5C" w:rsidP="00614D5C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  <w:r w:rsidRPr="00614D5C">
          <w:rPr>
            <w:rFonts w:ascii="Bookman Old Style" w:hAnsi="Bookman Old Style"/>
            <w:sz w:val="24"/>
            <w:szCs w:val="24"/>
          </w:rPr>
          <w:fldChar w:fldCharType="begin"/>
        </w:r>
        <w:r w:rsidRPr="00614D5C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614D5C">
          <w:rPr>
            <w:rFonts w:ascii="Bookman Old Style" w:hAnsi="Bookman Old Style"/>
            <w:sz w:val="24"/>
            <w:szCs w:val="24"/>
          </w:rPr>
          <w:fldChar w:fldCharType="separate"/>
        </w:r>
        <w:r w:rsidR="00467A98">
          <w:rPr>
            <w:rFonts w:ascii="Bookman Old Style" w:hAnsi="Bookman Old Style"/>
            <w:noProof/>
            <w:sz w:val="24"/>
            <w:szCs w:val="24"/>
          </w:rPr>
          <w:t>- 2 -</w:t>
        </w:r>
        <w:r w:rsidRPr="00614D5C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:rsidR="00614D5C" w:rsidRDefault="00614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3E"/>
    <w:rsid w:val="0005286C"/>
    <w:rsid w:val="00073790"/>
    <w:rsid w:val="00086200"/>
    <w:rsid w:val="000B6F70"/>
    <w:rsid w:val="000D569E"/>
    <w:rsid w:val="00100DE1"/>
    <w:rsid w:val="00110E39"/>
    <w:rsid w:val="00113F6F"/>
    <w:rsid w:val="001170F2"/>
    <w:rsid w:val="00152435"/>
    <w:rsid w:val="00170E7F"/>
    <w:rsid w:val="00180A7D"/>
    <w:rsid w:val="001924C9"/>
    <w:rsid w:val="001C1F4D"/>
    <w:rsid w:val="001E5D7F"/>
    <w:rsid w:val="001F2E37"/>
    <w:rsid w:val="001F3A90"/>
    <w:rsid w:val="00207401"/>
    <w:rsid w:val="00263E1F"/>
    <w:rsid w:val="002A4973"/>
    <w:rsid w:val="002B253E"/>
    <w:rsid w:val="002D2405"/>
    <w:rsid w:val="002E5D4C"/>
    <w:rsid w:val="00322B05"/>
    <w:rsid w:val="00331F6F"/>
    <w:rsid w:val="00332D3E"/>
    <w:rsid w:val="0034794B"/>
    <w:rsid w:val="003743E4"/>
    <w:rsid w:val="003B32DD"/>
    <w:rsid w:val="003C738D"/>
    <w:rsid w:val="003D742B"/>
    <w:rsid w:val="0040056C"/>
    <w:rsid w:val="00401818"/>
    <w:rsid w:val="004067B9"/>
    <w:rsid w:val="0040769F"/>
    <w:rsid w:val="00423076"/>
    <w:rsid w:val="004234DF"/>
    <w:rsid w:val="0044329B"/>
    <w:rsid w:val="004532F9"/>
    <w:rsid w:val="00467A98"/>
    <w:rsid w:val="004A1F73"/>
    <w:rsid w:val="004B3DCE"/>
    <w:rsid w:val="004B66CD"/>
    <w:rsid w:val="004D35E2"/>
    <w:rsid w:val="004E58DF"/>
    <w:rsid w:val="00532977"/>
    <w:rsid w:val="0055067F"/>
    <w:rsid w:val="00556895"/>
    <w:rsid w:val="00575507"/>
    <w:rsid w:val="005A4B32"/>
    <w:rsid w:val="005C24DE"/>
    <w:rsid w:val="005F2A93"/>
    <w:rsid w:val="00614D5C"/>
    <w:rsid w:val="006150BA"/>
    <w:rsid w:val="0066778E"/>
    <w:rsid w:val="00685894"/>
    <w:rsid w:val="006A1BD7"/>
    <w:rsid w:val="006A6E81"/>
    <w:rsid w:val="006E09E3"/>
    <w:rsid w:val="006E15FF"/>
    <w:rsid w:val="006F2E50"/>
    <w:rsid w:val="007A27DF"/>
    <w:rsid w:val="007D428C"/>
    <w:rsid w:val="007D7CFF"/>
    <w:rsid w:val="007E1F59"/>
    <w:rsid w:val="0080279D"/>
    <w:rsid w:val="008126AD"/>
    <w:rsid w:val="00855CD8"/>
    <w:rsid w:val="008A500B"/>
    <w:rsid w:val="008D5DE1"/>
    <w:rsid w:val="00941CEC"/>
    <w:rsid w:val="00957C73"/>
    <w:rsid w:val="00971611"/>
    <w:rsid w:val="009C5057"/>
    <w:rsid w:val="009D67A1"/>
    <w:rsid w:val="009F706B"/>
    <w:rsid w:val="00A001DD"/>
    <w:rsid w:val="00A11395"/>
    <w:rsid w:val="00A26331"/>
    <w:rsid w:val="00AA293B"/>
    <w:rsid w:val="00AD7815"/>
    <w:rsid w:val="00AE0EC5"/>
    <w:rsid w:val="00AF485F"/>
    <w:rsid w:val="00AF4DE3"/>
    <w:rsid w:val="00B17642"/>
    <w:rsid w:val="00B407A9"/>
    <w:rsid w:val="00B47EC2"/>
    <w:rsid w:val="00B76B7B"/>
    <w:rsid w:val="00B91A04"/>
    <w:rsid w:val="00BE4127"/>
    <w:rsid w:val="00C239F7"/>
    <w:rsid w:val="00C30478"/>
    <w:rsid w:val="00C53BAE"/>
    <w:rsid w:val="00C76819"/>
    <w:rsid w:val="00C82ABC"/>
    <w:rsid w:val="00D26BB4"/>
    <w:rsid w:val="00D72AAC"/>
    <w:rsid w:val="00DA12BA"/>
    <w:rsid w:val="00DA676C"/>
    <w:rsid w:val="00DB0AD5"/>
    <w:rsid w:val="00DB5CD3"/>
    <w:rsid w:val="00DC1AD2"/>
    <w:rsid w:val="00DE015D"/>
    <w:rsid w:val="00E07A6C"/>
    <w:rsid w:val="00E13C47"/>
    <w:rsid w:val="00E67730"/>
    <w:rsid w:val="00EC2583"/>
    <w:rsid w:val="00EC4EF8"/>
    <w:rsid w:val="00EF7DB4"/>
    <w:rsid w:val="00F502F9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5C"/>
  </w:style>
  <w:style w:type="paragraph" w:styleId="Footer">
    <w:name w:val="footer"/>
    <w:basedOn w:val="Normal"/>
    <w:link w:val="FooterChar"/>
    <w:uiPriority w:val="99"/>
    <w:unhideWhenUsed/>
    <w:rsid w:val="00614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5C"/>
  </w:style>
  <w:style w:type="paragraph" w:styleId="Footer">
    <w:name w:val="footer"/>
    <w:basedOn w:val="Normal"/>
    <w:link w:val="FooterChar"/>
    <w:uiPriority w:val="99"/>
    <w:unhideWhenUsed/>
    <w:rsid w:val="00614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9909-5EB7-44C9-A791-AAC3436E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Joni</cp:lastModifiedBy>
  <cp:revision>2</cp:revision>
  <cp:lastPrinted>2014-10-08T07:02:00Z</cp:lastPrinted>
  <dcterms:created xsi:type="dcterms:W3CDTF">2015-04-29T07:42:00Z</dcterms:created>
  <dcterms:modified xsi:type="dcterms:W3CDTF">2015-04-29T07:42:00Z</dcterms:modified>
</cp:coreProperties>
</file>